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w:t>
      </w:r>
      <w:bookmarkStart w:id="0" w:name="_GoBack"/>
      <w:r>
        <w:rPr>
          <w:rFonts w:hint="default" w:ascii="Calibri" w:hAnsi="Calibri" w:eastAsia="Segoe UI" w:cs="Calibri"/>
          <w:b w:val="0"/>
          <w:bCs w:val="0"/>
          <w:i w:val="0"/>
          <w:iCs w:val="0"/>
          <w:color w:val="000000"/>
          <w:sz w:val="24"/>
          <w:szCs w:val="24"/>
          <w:lang w:val="en-US"/>
        </w:rPr>
        <w:t xml:space="preserve">company. </w:t>
      </w:r>
    </w:p>
    <w:bookmarkEnd w:id="0"/>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only.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you setup and create this unique environment you end up answering a number of questions. Some of these questions could be where are you located at? Does your business deal with time, products, services?  Who are your customers? What do you call them? Member, clients, patients, students,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 it a little bit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Do we need to use some analogies here such as movies? Books? Would we be better off to describe things that way???? ----- As soon as you can start seeing that every single business is technically a different world - it start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Think of your favorite movie or book. Think of some of the different things that make up their environment, who do they interact with, what do they need to do, what are the things that make up their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This concept is heavily used by authors in books and movies to virtually transport their audience into these virtual worlds or stories. We could see so many parallels in world building to what we were already doing in Adilas, we just didn’t have a name for 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it ties in and has influenced us to go in certain directions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26D55D7"/>
    <w:rsid w:val="02B86C1E"/>
    <w:rsid w:val="054A2AFC"/>
    <w:rsid w:val="056E3BA2"/>
    <w:rsid w:val="06476A89"/>
    <w:rsid w:val="06AD502C"/>
    <w:rsid w:val="0A9171E7"/>
    <w:rsid w:val="0CB9587D"/>
    <w:rsid w:val="0F0561F0"/>
    <w:rsid w:val="121E2E39"/>
    <w:rsid w:val="12FC0200"/>
    <w:rsid w:val="13133D5B"/>
    <w:rsid w:val="186109B8"/>
    <w:rsid w:val="1A1C6B58"/>
    <w:rsid w:val="1AF46B9F"/>
    <w:rsid w:val="1CC27C60"/>
    <w:rsid w:val="1D6224FF"/>
    <w:rsid w:val="1F710D77"/>
    <w:rsid w:val="1FAA3D3E"/>
    <w:rsid w:val="1FD8367B"/>
    <w:rsid w:val="202C752E"/>
    <w:rsid w:val="21F42D06"/>
    <w:rsid w:val="22A3497E"/>
    <w:rsid w:val="25932768"/>
    <w:rsid w:val="28F35797"/>
    <w:rsid w:val="2A3D5138"/>
    <w:rsid w:val="2ADB13A0"/>
    <w:rsid w:val="2EDE2C00"/>
    <w:rsid w:val="31790712"/>
    <w:rsid w:val="31B059FB"/>
    <w:rsid w:val="324B1B9E"/>
    <w:rsid w:val="3E892D3F"/>
    <w:rsid w:val="407D35AC"/>
    <w:rsid w:val="427803E7"/>
    <w:rsid w:val="44872954"/>
    <w:rsid w:val="472510AD"/>
    <w:rsid w:val="49863225"/>
    <w:rsid w:val="4AC1259E"/>
    <w:rsid w:val="4D431E0D"/>
    <w:rsid w:val="4EB62070"/>
    <w:rsid w:val="522F5C73"/>
    <w:rsid w:val="56EE1A6C"/>
    <w:rsid w:val="571D0843"/>
    <w:rsid w:val="57AA23E5"/>
    <w:rsid w:val="5950432B"/>
    <w:rsid w:val="598B25C8"/>
    <w:rsid w:val="5A0913AE"/>
    <w:rsid w:val="61924E3A"/>
    <w:rsid w:val="61CE4362"/>
    <w:rsid w:val="646F4A15"/>
    <w:rsid w:val="65A649A7"/>
    <w:rsid w:val="67137ED6"/>
    <w:rsid w:val="68CB389D"/>
    <w:rsid w:val="699F4E31"/>
    <w:rsid w:val="6EB003D4"/>
    <w:rsid w:val="6F423C5E"/>
    <w:rsid w:val="71974308"/>
    <w:rsid w:val="724061DD"/>
    <w:rsid w:val="76A27EAC"/>
    <w:rsid w:val="7807794E"/>
    <w:rsid w:val="7CFF083D"/>
    <w:rsid w:val="7DE2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2021-11-16T19:03:51Z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B0A3B0D0B9E04B2E941E34B379EBAE70</vt:lpwstr>
  </property>
</Properties>
</file>